
<file path=[Content_Types].xml><?xml version="1.0" encoding="utf-8"?>
<Types xmlns="http://schemas.openxmlformats.org/package/2006/content-types">
  <Default Extension="bin" ContentType="application/vnd.ms-office.activeX"/>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06165" w:rsidRPr="00506165" w:rsidRDefault="00506165" w:rsidP="00506165">
      <w:pPr>
        <w:spacing w:before="100" w:beforeAutospacing="1" w:after="100" w:afterAutospacing="1" w:line="240" w:lineRule="auto"/>
        <w:jc w:val="center"/>
        <w:rPr>
          <w:rFonts w:ascii="Times New Roman" w:eastAsia="Times New Roman" w:hAnsi="Times New Roman" w:cs="Times New Roman"/>
          <w:color w:val="000000"/>
          <w:sz w:val="27"/>
          <w:szCs w:val="27"/>
        </w:rPr>
      </w:pPr>
      <w:r w:rsidRPr="00506165">
        <w:rPr>
          <w:rFonts w:ascii="Times New Roman" w:eastAsia="Times New Roman" w:hAnsi="Times New Roman" w:cs="Times New Roman"/>
          <w:noProof/>
          <w:color w:val="000000"/>
          <w:sz w:val="27"/>
          <w:szCs w:val="27"/>
        </w:rPr>
        <w:drawing>
          <wp:inline distT="0" distB="0" distL="0" distR="0">
            <wp:extent cx="1438910" cy="826770"/>
            <wp:effectExtent l="0" t="0" r="8890" b="0"/>
            <wp:docPr id="1" name="Picture 1" descr="https://mysupport.netapp.com/NOW/images/head_ntap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ysupport.netapp.com/NOW/images/head_ntap_logo.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438910" cy="826770"/>
                    </a:xfrm>
                    <a:prstGeom prst="rect">
                      <a:avLst/>
                    </a:prstGeom>
                    <a:noFill/>
                    <a:ln>
                      <a:noFill/>
                    </a:ln>
                  </pic:spPr>
                </pic:pic>
              </a:graphicData>
            </a:graphic>
          </wp:inline>
        </w:drawing>
      </w:r>
    </w:p>
    <w:p w:rsidR="00506165" w:rsidRPr="00506165" w:rsidRDefault="00506165" w:rsidP="00506165">
      <w:pPr>
        <w:spacing w:before="100" w:beforeAutospacing="1" w:after="100" w:afterAutospacing="1" w:line="240" w:lineRule="auto"/>
        <w:jc w:val="center"/>
        <w:rPr>
          <w:rFonts w:ascii="Times New Roman" w:eastAsia="Times New Roman" w:hAnsi="Times New Roman" w:cs="Times New Roman"/>
          <w:color w:val="000000"/>
          <w:sz w:val="27"/>
          <w:szCs w:val="27"/>
        </w:rPr>
      </w:pPr>
      <w:r w:rsidRPr="00506165">
        <w:rPr>
          <w:rFonts w:ascii="Times New Roman" w:eastAsia="Times New Roman" w:hAnsi="Times New Roman" w:cs="Times New Roman"/>
          <w:b/>
          <w:bCs/>
          <w:color w:val="000000"/>
          <w:sz w:val="27"/>
          <w:szCs w:val="27"/>
        </w:rPr>
        <w:t>END USER LICENSE AGREEMENT FOR NETAPP, INC. SOFTWARE</w:t>
      </w:r>
    </w:p>
    <w:p w:rsidR="00506165" w:rsidRPr="00506165" w:rsidRDefault="00506165" w:rsidP="00506165">
      <w:pPr>
        <w:spacing w:before="100" w:beforeAutospacing="1" w:after="100" w:afterAutospacing="1" w:line="240" w:lineRule="auto"/>
        <w:jc w:val="center"/>
        <w:rPr>
          <w:rFonts w:ascii="Times New Roman" w:eastAsia="Times New Roman" w:hAnsi="Times New Roman" w:cs="Times New Roman"/>
          <w:color w:val="000000"/>
          <w:sz w:val="27"/>
          <w:szCs w:val="27"/>
        </w:rPr>
      </w:pPr>
      <w:r w:rsidRPr="00506165">
        <w:rPr>
          <w:rFonts w:ascii="Times New Roman" w:eastAsia="Times New Roman" w:hAnsi="Times New Roman" w:cs="Times New Roman"/>
          <w:color w:val="000000"/>
          <w:sz w:val="27"/>
          <w:szCs w:val="27"/>
        </w:rPr>
        <w:t>NETAPP MANAGEABILITY SDK LICENSE AGREEMENT</w:t>
      </w:r>
      <w:bookmarkStart w:id="0" w:name="_GoBack"/>
      <w:bookmarkEnd w:id="0"/>
    </w:p>
    <w:p w:rsidR="00506165" w:rsidRPr="00506165" w:rsidRDefault="00506165" w:rsidP="00506165">
      <w:pPr>
        <w:spacing w:before="100" w:beforeAutospacing="1" w:after="100" w:afterAutospacing="1" w:line="240" w:lineRule="auto"/>
        <w:rPr>
          <w:rFonts w:ascii="Times New Roman" w:eastAsia="Times New Roman" w:hAnsi="Times New Roman" w:cs="Times New Roman"/>
          <w:color w:val="000000"/>
          <w:sz w:val="27"/>
          <w:szCs w:val="27"/>
        </w:rPr>
      </w:pPr>
      <w:r w:rsidRPr="00506165">
        <w:rPr>
          <w:rFonts w:ascii="Times New Roman" w:eastAsia="Times New Roman" w:hAnsi="Times New Roman" w:cs="Times New Roman"/>
          <w:color w:val="000000"/>
          <w:sz w:val="27"/>
          <w:szCs w:val="27"/>
        </w:rPr>
        <w:t xml:space="preserve">This NetApp Manageability Software Development Kit ("SDK") License Agreement ("License") is a legal agreement between You either as an individual or as an authorized representative of a business entity (hereafter referred to as "You" and/or "Your"), and NetApp, Inc. ("NetApp"). If you are accessing the SDK electronically, indicate your acceptance of these terms by selecting the "Accept" button at the end of this License. By accepting the terms of the License, </w:t>
      </w:r>
      <w:proofErr w:type="gramStart"/>
      <w:r w:rsidRPr="00506165">
        <w:rPr>
          <w:rFonts w:ascii="Times New Roman" w:eastAsia="Times New Roman" w:hAnsi="Times New Roman" w:cs="Times New Roman"/>
          <w:color w:val="000000"/>
          <w:sz w:val="27"/>
          <w:szCs w:val="27"/>
        </w:rPr>
        <w:t>You</w:t>
      </w:r>
      <w:proofErr w:type="gramEnd"/>
      <w:r w:rsidRPr="00506165">
        <w:rPr>
          <w:rFonts w:ascii="Times New Roman" w:eastAsia="Times New Roman" w:hAnsi="Times New Roman" w:cs="Times New Roman"/>
          <w:color w:val="000000"/>
          <w:sz w:val="27"/>
          <w:szCs w:val="27"/>
        </w:rPr>
        <w:t xml:space="preserve"> agree to be bound by the terms of the License, which include any other applicable licenses provided with the SDK. If You do not agree to </w:t>
      </w:r>
      <w:proofErr w:type="gramStart"/>
      <w:r w:rsidRPr="00506165">
        <w:rPr>
          <w:rFonts w:ascii="Times New Roman" w:eastAsia="Times New Roman" w:hAnsi="Times New Roman" w:cs="Times New Roman"/>
          <w:color w:val="000000"/>
          <w:sz w:val="27"/>
          <w:szCs w:val="27"/>
        </w:rPr>
        <w:t>all of</w:t>
      </w:r>
      <w:proofErr w:type="gramEnd"/>
      <w:r w:rsidRPr="00506165">
        <w:rPr>
          <w:rFonts w:ascii="Times New Roman" w:eastAsia="Times New Roman" w:hAnsi="Times New Roman" w:cs="Times New Roman"/>
          <w:color w:val="000000"/>
          <w:sz w:val="27"/>
          <w:szCs w:val="27"/>
        </w:rPr>
        <w:t xml:space="preserve"> the terms, select the "Decline" button at the end of this License.</w:t>
      </w:r>
    </w:p>
    <w:p w:rsidR="00506165" w:rsidRPr="00506165" w:rsidRDefault="00506165" w:rsidP="00506165">
      <w:pPr>
        <w:spacing w:before="100" w:beforeAutospacing="1" w:after="100" w:afterAutospacing="1" w:line="240" w:lineRule="auto"/>
        <w:rPr>
          <w:rFonts w:ascii="Times New Roman" w:eastAsia="Times New Roman" w:hAnsi="Times New Roman" w:cs="Times New Roman"/>
          <w:color w:val="000000"/>
          <w:sz w:val="27"/>
          <w:szCs w:val="27"/>
        </w:rPr>
      </w:pPr>
      <w:r w:rsidRPr="00506165">
        <w:rPr>
          <w:rFonts w:ascii="Times New Roman" w:eastAsia="Times New Roman" w:hAnsi="Times New Roman" w:cs="Times New Roman"/>
          <w:b/>
          <w:bCs/>
          <w:color w:val="000000"/>
          <w:sz w:val="27"/>
          <w:szCs w:val="27"/>
        </w:rPr>
        <w:t>1. SOFTWARE DEVELOPMENT KIT LICENSE GRANT.</w:t>
      </w:r>
      <w:r w:rsidRPr="00506165">
        <w:rPr>
          <w:rFonts w:ascii="Times New Roman" w:eastAsia="Times New Roman" w:hAnsi="Times New Roman" w:cs="Times New Roman"/>
          <w:color w:val="000000"/>
          <w:sz w:val="27"/>
          <w:szCs w:val="27"/>
        </w:rPr>
        <w:t> Subject to the terms and conditions set forth herein, NetApp grants You a license to:</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color w:val="000000"/>
          <w:sz w:val="27"/>
          <w:szCs w:val="27"/>
        </w:rPr>
        <w:br/>
        <w:t>(</w:t>
      </w:r>
      <w:proofErr w:type="spellStart"/>
      <w:r w:rsidRPr="00506165">
        <w:rPr>
          <w:rFonts w:ascii="Times New Roman" w:eastAsia="Times New Roman" w:hAnsi="Times New Roman" w:cs="Times New Roman"/>
          <w:color w:val="000000"/>
          <w:sz w:val="27"/>
          <w:szCs w:val="27"/>
        </w:rPr>
        <w:t>i</w:t>
      </w:r>
      <w:proofErr w:type="spellEnd"/>
      <w:r w:rsidRPr="00506165">
        <w:rPr>
          <w:rFonts w:ascii="Times New Roman" w:eastAsia="Times New Roman" w:hAnsi="Times New Roman" w:cs="Times New Roman"/>
          <w:color w:val="000000"/>
          <w:sz w:val="27"/>
          <w:szCs w:val="27"/>
        </w:rPr>
        <w:t>) Internally use the documentation which may include the "Getting Started Guide," FAQs, API documentation, and trouble-shooting guidelines (collectively, the "SDK Documentation") solely for the purpose of researching, designing, developing and testing a software application product (the "Licensee Application") for use with NetApp products;</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color w:val="000000"/>
          <w:sz w:val="27"/>
          <w:szCs w:val="27"/>
        </w:rPr>
        <w:br/>
        <w:t>(ii) Use, reproduce and distribute the Language Libraries in object code form (for C/C++, Java, C#, VB.NET and PowerShell only) and source code form (for Perl, Python and Ruby only) as incorporated into the Licensee Application; provided, however, that You (A) reproduce and include the copyright notice that appears in the Language Libraries as provided by NetApp, and (B) distribute the Licensee Application incorporating the Language Libraries pursuant to terms no less restrictive than those set forth herein. You shall not modify the Language Libraries; and</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color w:val="000000"/>
          <w:sz w:val="27"/>
          <w:szCs w:val="27"/>
        </w:rPr>
        <w:br/>
        <w:t xml:space="preserve">(iii) Use, reproduce, modify and create derivatives of the Sample Code which may include utilities (the "Sample Derivatives") and reproduce and distribute the Sample Derivatives in object code form as incorporated in the Licensee Application; provided, however, that You (A) reproduce and include the copyright notice that appears in the Sample Code as provided by NetApp, and (B) distribute the Licensee Application </w:t>
      </w:r>
      <w:r w:rsidRPr="00506165">
        <w:rPr>
          <w:rFonts w:ascii="Times New Roman" w:eastAsia="Times New Roman" w:hAnsi="Times New Roman" w:cs="Times New Roman"/>
          <w:color w:val="000000"/>
          <w:sz w:val="27"/>
          <w:szCs w:val="27"/>
        </w:rPr>
        <w:lastRenderedPageBreak/>
        <w:t>incorporating the Sample Derivatives pursuant to terms no less restrictive than those set forth herein. NetApp will not provide technical support, phone support, or updates to You for the Sample Code licensed under this License. If NetApp, at its sole option, supplies updates to You, the updates will be considered part of the Sample Code, and subject to the terms of this License.</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color w:val="000000"/>
          <w:sz w:val="27"/>
          <w:szCs w:val="27"/>
        </w:rPr>
        <w:br/>
        <w:t>You shall not combine the Language Libraries or the Sample Derivatives into a Licensee Application such that the Language Libraries or Sample Derivatives would be licensed under a license that requires the Language Libraries or Sample Derivatives to be (a) disclosed or distributed in source code form, (b) licensed for the purpose of making derivative works, or (c) redistributable at no charge. </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b/>
          <w:bCs/>
          <w:color w:val="000000"/>
          <w:sz w:val="27"/>
          <w:szCs w:val="27"/>
        </w:rPr>
        <w:br/>
        <w:t>2. SNAPDIFF API LICENSE GRANT.</w:t>
      </w:r>
      <w:r w:rsidRPr="00506165">
        <w:rPr>
          <w:rFonts w:ascii="Times New Roman" w:eastAsia="Times New Roman" w:hAnsi="Times New Roman" w:cs="Times New Roman"/>
          <w:color w:val="000000"/>
          <w:sz w:val="27"/>
          <w:szCs w:val="27"/>
        </w:rPr>
        <w:t xml:space="preserve"> The SDK may also include the NetApp </w:t>
      </w:r>
      <w:proofErr w:type="spellStart"/>
      <w:r w:rsidRPr="00506165">
        <w:rPr>
          <w:rFonts w:ascii="Times New Roman" w:eastAsia="Times New Roman" w:hAnsi="Times New Roman" w:cs="Times New Roman"/>
          <w:color w:val="000000"/>
          <w:sz w:val="27"/>
          <w:szCs w:val="27"/>
        </w:rPr>
        <w:t>SnapDiff</w:t>
      </w:r>
      <w:proofErr w:type="spellEnd"/>
      <w:r w:rsidRPr="00506165">
        <w:rPr>
          <w:rFonts w:ascii="Times New Roman" w:eastAsia="Times New Roman" w:hAnsi="Times New Roman" w:cs="Times New Roman"/>
          <w:color w:val="000000"/>
          <w:sz w:val="27"/>
          <w:szCs w:val="27"/>
        </w:rPr>
        <w:t xml:space="preserve"> APIs and accompanying API documentation (collectively, "</w:t>
      </w:r>
      <w:proofErr w:type="spellStart"/>
      <w:r w:rsidRPr="00506165">
        <w:rPr>
          <w:rFonts w:ascii="Times New Roman" w:eastAsia="Times New Roman" w:hAnsi="Times New Roman" w:cs="Times New Roman"/>
          <w:color w:val="000000"/>
          <w:sz w:val="27"/>
          <w:szCs w:val="27"/>
        </w:rPr>
        <w:t>SnapDiff</w:t>
      </w:r>
      <w:proofErr w:type="spellEnd"/>
      <w:r w:rsidRPr="00506165">
        <w:rPr>
          <w:rFonts w:ascii="Times New Roman" w:eastAsia="Times New Roman" w:hAnsi="Times New Roman" w:cs="Times New Roman"/>
          <w:color w:val="000000"/>
          <w:sz w:val="27"/>
          <w:szCs w:val="27"/>
        </w:rPr>
        <w:t xml:space="preserve">"), for which the following license terms apply. NetApp grants You a limited, terminable, revocable, nonexclusive license, with no right of sublicense, to implement </w:t>
      </w:r>
      <w:proofErr w:type="spellStart"/>
      <w:r w:rsidRPr="00506165">
        <w:rPr>
          <w:rFonts w:ascii="Times New Roman" w:eastAsia="Times New Roman" w:hAnsi="Times New Roman" w:cs="Times New Roman"/>
          <w:color w:val="000000"/>
          <w:sz w:val="27"/>
          <w:szCs w:val="27"/>
        </w:rPr>
        <w:t>SnapDiff</w:t>
      </w:r>
      <w:proofErr w:type="spellEnd"/>
      <w:r w:rsidRPr="00506165">
        <w:rPr>
          <w:rFonts w:ascii="Times New Roman" w:eastAsia="Times New Roman" w:hAnsi="Times New Roman" w:cs="Times New Roman"/>
          <w:color w:val="000000"/>
          <w:sz w:val="27"/>
          <w:szCs w:val="27"/>
        </w:rPr>
        <w:t xml:space="preserve">, in Your Licensee Application, as long as such implementation does not have the functionality to transfer data from a NetApp storage device to a non-NetApp disk or </w:t>
      </w:r>
      <w:proofErr w:type="gramStart"/>
      <w:r w:rsidRPr="00506165">
        <w:rPr>
          <w:rFonts w:ascii="Times New Roman" w:eastAsia="Times New Roman" w:hAnsi="Times New Roman" w:cs="Times New Roman"/>
          <w:color w:val="000000"/>
          <w:sz w:val="27"/>
          <w:szCs w:val="27"/>
        </w:rPr>
        <w:t>solid state</w:t>
      </w:r>
      <w:proofErr w:type="gramEnd"/>
      <w:r w:rsidRPr="00506165">
        <w:rPr>
          <w:rFonts w:ascii="Times New Roman" w:eastAsia="Times New Roman" w:hAnsi="Times New Roman" w:cs="Times New Roman"/>
          <w:color w:val="000000"/>
          <w:sz w:val="27"/>
          <w:szCs w:val="27"/>
        </w:rPr>
        <w:t xml:space="preserve"> storage device.</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b/>
          <w:bCs/>
          <w:color w:val="000000"/>
          <w:sz w:val="27"/>
          <w:szCs w:val="27"/>
        </w:rPr>
        <w:br/>
        <w:t>3. THIRD PARTY SOFTWARE.</w:t>
      </w:r>
      <w:r w:rsidRPr="00506165">
        <w:rPr>
          <w:rFonts w:ascii="Times New Roman" w:eastAsia="Times New Roman" w:hAnsi="Times New Roman" w:cs="Times New Roman"/>
          <w:color w:val="000000"/>
          <w:sz w:val="27"/>
          <w:szCs w:val="27"/>
        </w:rPr>
        <w:t xml:space="preserve"> Notwithstanding other statements in this License, the SDK may include third party software including free, copyleft and open source software components (collectively referred to as "Third Party Software") that are distributed in compliance with the particular licensing terms and conditions attributable to the </w:t>
      </w:r>
      <w:proofErr w:type="gramStart"/>
      <w:r w:rsidRPr="00506165">
        <w:rPr>
          <w:rFonts w:ascii="Times New Roman" w:eastAsia="Times New Roman" w:hAnsi="Times New Roman" w:cs="Times New Roman"/>
          <w:color w:val="000000"/>
          <w:sz w:val="27"/>
          <w:szCs w:val="27"/>
        </w:rPr>
        <w:t>Third Party</w:t>
      </w:r>
      <w:proofErr w:type="gramEnd"/>
      <w:r w:rsidRPr="00506165">
        <w:rPr>
          <w:rFonts w:ascii="Times New Roman" w:eastAsia="Times New Roman" w:hAnsi="Times New Roman" w:cs="Times New Roman"/>
          <w:color w:val="000000"/>
          <w:sz w:val="27"/>
          <w:szCs w:val="27"/>
        </w:rPr>
        <w:t xml:space="preserve"> Software. NetApp provides the </w:t>
      </w:r>
      <w:proofErr w:type="gramStart"/>
      <w:r w:rsidRPr="00506165">
        <w:rPr>
          <w:rFonts w:ascii="Times New Roman" w:eastAsia="Times New Roman" w:hAnsi="Times New Roman" w:cs="Times New Roman"/>
          <w:color w:val="000000"/>
          <w:sz w:val="27"/>
          <w:szCs w:val="27"/>
        </w:rPr>
        <w:t>Third Party</w:t>
      </w:r>
      <w:proofErr w:type="gramEnd"/>
      <w:r w:rsidRPr="00506165">
        <w:rPr>
          <w:rFonts w:ascii="Times New Roman" w:eastAsia="Times New Roman" w:hAnsi="Times New Roman" w:cs="Times New Roman"/>
          <w:color w:val="000000"/>
          <w:sz w:val="27"/>
          <w:szCs w:val="27"/>
        </w:rPr>
        <w:t xml:space="preserve"> Software to you "AS IS" without any warranties or indemnities of any kind. Copyright notices and licensing terms and conditions applicable to the Third Party Software are available for review with the SDK Documentation at </w:t>
      </w:r>
      <w:hyperlink r:id="rId5" w:history="1">
        <w:r w:rsidRPr="00506165">
          <w:rPr>
            <w:rFonts w:ascii="Times New Roman" w:eastAsia="Times New Roman" w:hAnsi="Times New Roman" w:cs="Times New Roman"/>
            <w:color w:val="0000FF"/>
            <w:sz w:val="27"/>
            <w:szCs w:val="27"/>
            <w:u w:val="single"/>
          </w:rPr>
          <w:t>http://community.netapp.com/t5/Software-Development-Kit-SDK-and-API-Discussions/bd-p/sdk-and-api-discussions</w:t>
        </w:r>
      </w:hyperlink>
      <w:r w:rsidRPr="00506165">
        <w:rPr>
          <w:rFonts w:ascii="Times New Roman" w:eastAsia="Times New Roman" w:hAnsi="Times New Roman" w:cs="Times New Roman"/>
          <w:color w:val="000000"/>
          <w:sz w:val="27"/>
          <w:szCs w:val="27"/>
        </w:rPr>
        <w:t>, and are included in a NOTICES file included within the downloaded files. </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b/>
          <w:bCs/>
          <w:color w:val="000000"/>
          <w:sz w:val="27"/>
          <w:szCs w:val="27"/>
        </w:rPr>
        <w:br/>
        <w:t>4. RESTRICTIONS.</w:t>
      </w:r>
      <w:r w:rsidRPr="00506165">
        <w:rPr>
          <w:rFonts w:ascii="Times New Roman" w:eastAsia="Times New Roman" w:hAnsi="Times New Roman" w:cs="Times New Roman"/>
          <w:color w:val="000000"/>
          <w:sz w:val="27"/>
          <w:szCs w:val="27"/>
        </w:rPr>
        <w:t xml:space="preserve"> NetApp shall retain all right, title and interest in and to the SDK and SDK Documentation, and all copies thereof (hereafter referred to collectively as the "NetApp Software"). Licensee shall not, nor shall Licensee allow any third party to: (a) decompile, disassemble, decrypt, extract, or otherwise reverse engineer or attempt to reconstruct, or discover any source code or underlying ideas, algorithms, or file formats of, or used in, the Language Libraries by any means whatever; or (b) remove or conceal any product identification, copyright or other notices contained in or on the Language Libraries. NetApp, and any relevant third parties, reserve the right to revise, including bug fixes and/or patches, upgrade or otherwise change or modify the NetApp Software ("Upgrade") at </w:t>
      </w:r>
      <w:proofErr w:type="spellStart"/>
      <w:r w:rsidRPr="00506165">
        <w:rPr>
          <w:rFonts w:ascii="Times New Roman" w:eastAsia="Times New Roman" w:hAnsi="Times New Roman" w:cs="Times New Roman"/>
          <w:color w:val="000000"/>
          <w:sz w:val="27"/>
          <w:szCs w:val="27"/>
        </w:rPr>
        <w:t>anytime</w:t>
      </w:r>
      <w:proofErr w:type="spellEnd"/>
      <w:r w:rsidRPr="00506165">
        <w:rPr>
          <w:rFonts w:ascii="Times New Roman" w:eastAsia="Times New Roman" w:hAnsi="Times New Roman" w:cs="Times New Roman"/>
          <w:color w:val="000000"/>
          <w:sz w:val="27"/>
          <w:szCs w:val="27"/>
        </w:rPr>
        <w:t xml:space="preserve">. The </w:t>
      </w:r>
      <w:r w:rsidRPr="00506165">
        <w:rPr>
          <w:rFonts w:ascii="Times New Roman" w:eastAsia="Times New Roman" w:hAnsi="Times New Roman" w:cs="Times New Roman"/>
          <w:color w:val="000000"/>
          <w:sz w:val="27"/>
          <w:szCs w:val="27"/>
        </w:rPr>
        <w:lastRenderedPageBreak/>
        <w:t>NetApp Software is protected by copyrights, one or more U.S. patents issued or pending, and other applicable laws. Licensee agrees to take all adequate steps to protect the NetApp Software from unauthorized disclosure or use. </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b/>
          <w:bCs/>
          <w:color w:val="000000"/>
          <w:sz w:val="27"/>
          <w:szCs w:val="27"/>
        </w:rPr>
        <w:br/>
        <w:t>5. CONFIDENTIALITY.</w:t>
      </w:r>
      <w:r w:rsidRPr="00506165">
        <w:rPr>
          <w:rFonts w:ascii="Times New Roman" w:eastAsia="Times New Roman" w:hAnsi="Times New Roman" w:cs="Times New Roman"/>
          <w:color w:val="000000"/>
          <w:sz w:val="27"/>
          <w:szCs w:val="27"/>
        </w:rPr>
        <w:t> You acknowledge that the terms of this License, the APIs, the API documentation, and the source code are proprietary and confidential information of NetApp (hereafter "Confidential Information"). You shall not make the Confidential Information available in any form to any person other than to Your employees or consultants with a need to know and who are under an obligation of confidentiality not to disclose such Confidential Information. You shall use the same degree of care to protect the confidentiality of such Confidential Information as You use to protect Your own confidential information but in no event shall such degree of care be less than a reasonable degree of care. Confidential Information shall not include any information that (a) You can prove was received by You without confidentiality obligations of any kind prior to the time of disclosure, provided You did not receive the information from any third party in violation of that party’s confidentiality obligations, (b) is in the public domain at the time of disclosure, (c) enters the public domain after the time of disclosure through no fault of Yours, or (d) is independently developed by You.</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b/>
          <w:bCs/>
          <w:color w:val="000000"/>
          <w:sz w:val="27"/>
          <w:szCs w:val="27"/>
        </w:rPr>
        <w:br/>
        <w:t>6. TERMINATION OF LICENSE.</w:t>
      </w:r>
      <w:r w:rsidRPr="00506165">
        <w:rPr>
          <w:rFonts w:ascii="Times New Roman" w:eastAsia="Times New Roman" w:hAnsi="Times New Roman" w:cs="Times New Roman"/>
          <w:color w:val="000000"/>
          <w:sz w:val="27"/>
          <w:szCs w:val="27"/>
        </w:rPr>
        <w:t xml:space="preserve"> This License is effective until terminated. This License will terminate automatically if You breach any material provision of this License. Upon termination, Licensee shall immediately cease all use of the NetApp Software, and return or destroy all copies of the NetApp Software and all portions thereof and the accompanying documentation and where requested by NetApp, so certify in writing to NetApp. Termination is not an exclusive remedy and all other remedies at law or in equity will be available to NetApp </w:t>
      </w:r>
      <w:proofErr w:type="gramStart"/>
      <w:r w:rsidRPr="00506165">
        <w:rPr>
          <w:rFonts w:ascii="Times New Roman" w:eastAsia="Times New Roman" w:hAnsi="Times New Roman" w:cs="Times New Roman"/>
          <w:color w:val="000000"/>
          <w:sz w:val="27"/>
          <w:szCs w:val="27"/>
        </w:rPr>
        <w:t>whether or not</w:t>
      </w:r>
      <w:proofErr w:type="gramEnd"/>
      <w:r w:rsidRPr="00506165">
        <w:rPr>
          <w:rFonts w:ascii="Times New Roman" w:eastAsia="Times New Roman" w:hAnsi="Times New Roman" w:cs="Times New Roman"/>
          <w:color w:val="000000"/>
          <w:sz w:val="27"/>
          <w:szCs w:val="27"/>
        </w:rPr>
        <w:t xml:space="preserve"> the License is terminated. Sections 3, 4, 5, 6, 7, 8, 10, 11 and 12 will survive termination of this License.</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b/>
          <w:bCs/>
          <w:color w:val="000000"/>
          <w:sz w:val="27"/>
          <w:szCs w:val="27"/>
        </w:rPr>
        <w:br/>
        <w:t>7. WARRANTY DISCLAIMER.</w:t>
      </w:r>
      <w:r w:rsidRPr="00506165">
        <w:rPr>
          <w:rFonts w:ascii="Times New Roman" w:eastAsia="Times New Roman" w:hAnsi="Times New Roman" w:cs="Times New Roman"/>
          <w:color w:val="000000"/>
          <w:sz w:val="27"/>
          <w:szCs w:val="27"/>
        </w:rPr>
        <w:t> THE NETAPP SOFTWARE IS PROVIDED BY NETAPP "AS IS" AND WITHOUT WARRANTY OF ANY KIND. ANY EXPRESS OR IMPLIED WARRANTIES, INCLUDING BUT NOT LIMITED TO, IMPLIED WARRANTIES OF MERCHANTABILITY, NON-INFRINGEMENT, AND FITNESS FOR A PARTICULAR PURPOSE, ARE DISCLAIMED. IN NO EVENT SHALL NETAPP BE LIABLE FOR ANY DIRECT, INDIRECT, INCIDENTAL, SPECIAL, EXEMPLARY, CONSEQUENTIAL OR OTHER DAMAGES. SOME JURISDICTIONS DO NOT ALLOW LIMITATIONS OF IMPLIED WARRANTIES; THESE LIMITATIONS MAY NOT APPLY. </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b/>
          <w:bCs/>
          <w:color w:val="000000"/>
          <w:sz w:val="27"/>
          <w:szCs w:val="27"/>
        </w:rPr>
        <w:br/>
        <w:t>8. LIMITATIONS OF LIABILITY &amp; DAMAGES.</w:t>
      </w:r>
      <w:r w:rsidRPr="00506165">
        <w:rPr>
          <w:rFonts w:ascii="Times New Roman" w:eastAsia="Times New Roman" w:hAnsi="Times New Roman" w:cs="Times New Roman"/>
          <w:color w:val="000000"/>
          <w:sz w:val="27"/>
          <w:szCs w:val="27"/>
        </w:rPr>
        <w:t xml:space="preserve"> NETAPP SHALL NOT BE </w:t>
      </w:r>
      <w:r w:rsidRPr="00506165">
        <w:rPr>
          <w:rFonts w:ascii="Times New Roman" w:eastAsia="Times New Roman" w:hAnsi="Times New Roman" w:cs="Times New Roman"/>
          <w:color w:val="000000"/>
          <w:sz w:val="27"/>
          <w:szCs w:val="27"/>
        </w:rPr>
        <w:lastRenderedPageBreak/>
        <w:t>LIABLE FOR LOSS OR INTERRUPTION OF BUSINESS, LOSS OF REVENUE OR PROFITS, OR LOSS OR CORRUPTION OF DATA, HOWEVER CAUSED AND ON ANY THEORY OF LIABILITY. SUCH THEORIES OF LIABILITY INCLUDE CONTRACT OR TORT (INCLUDING, WITHOUT LIMITATION, NEGLIGENCE) OR OTHERWISE, ARISING OUT OF OR IN CONNECTION WITH THE DOWNLOAD, INSTALLATION, USE, OPERATION, OR MAINTENACE OF THE NETAPP SOFTWARE, EVEN IF ADVISED OF THE POSSIBILITY OF SUCH DAMAGE OR LOSS. SOME JURISDICTIONS DO NOT ALLOW LIMITATIONS OF IMPLIED WARRANTIES; THESE LIMITATIONS MAY NOT APPLY TO YOU. NETAPP'S TOTAL LIABILITY FOR ANY DAMAGE OR CLAIM ARISING FROM LICENSING OR USE OF THE NETAPP SOFTWARE OR THE ACCOMPANYING DOCUMENTATION IS YOUR TOTAL PURCHASE PRICE FOR THE NETAPP SOFTWARE OR TEN DOLLARS (US$10.00), WHICHEVER IS GREATER. IN NO EVENT SHALL NETAPP BE LIABLE FOR ANY DIRECT, INDIRECT, INCIDENTAL, EXEMPLARY, SPECIAL OR CONSEQUENTIAL DAMAGES; LOST OR CORRUPTED DATA, LOSS OF PROFITS, SAVINGS, OR REVENUES; OR FOR ANY OCCURRENCE BEYOND ITS CONTROL.</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color w:val="000000"/>
          <w:sz w:val="27"/>
          <w:szCs w:val="27"/>
        </w:rPr>
        <w:br/>
        <w:t>WARNING: The NetApp Software is not designed or intended for use in on-line control of equipment in hazardous environments such as the operation of nuclear facilities, aircraft, air traffic, aircraft navigation or aircraft communications, or in the design, construction, operation or maintenance of any nuclear facility, or in the operation or maintenance of any direct life support system. NetApp disclaims any express or implied warranty of fitness for such uses and shall not be liable for any costs, liabilities or damages resulting from the use of the NetApp Software in such an environment. Licensee agrees that it will not use or license the NetApp Software for such purposes.</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b/>
          <w:bCs/>
          <w:color w:val="000000"/>
          <w:sz w:val="27"/>
          <w:szCs w:val="27"/>
        </w:rPr>
        <w:br/>
        <w:t>9. U.S. GOVERNMENT AND EXPORT REGULATIONS; COMPLIANCE WITH LAWS.</w:t>
      </w:r>
      <w:r w:rsidRPr="00506165">
        <w:rPr>
          <w:rFonts w:ascii="Times New Roman" w:eastAsia="Times New Roman" w:hAnsi="Times New Roman" w:cs="Times New Roman"/>
          <w:color w:val="000000"/>
          <w:sz w:val="27"/>
          <w:szCs w:val="27"/>
        </w:rPr>
        <w:t xml:space="preserve"> If Licensee is acquiring the NetApp Software and accompanying documentation on behalf of the U.S. Government, special provisions apply. If the NetApp Software is supplied to the Department of Defense ("DOD"), the NetApp Software is subject to "Restricted Rights," as that term is defined in the DOD Supplement to the Federal Acquisition Regulations ("DFAR") in paragraph 252.227-7013(c)(1). If the NetApp Software is supplied to any unit or agency of the United States Government other than DOD, the Government's rights in the NetApp Software will be defined in paragraph 52.227-19(c)(1) or (2) of the Federal Acquisition Regulations ("FAR"), as applicable. Use, duplication, reproduction or disclosure by the Government is subject to such restrictions or successor provisions. Contractor/Manufacturer is: NetApp, Inc., 495 East Java Drive, Sunnyvale, CA </w:t>
      </w:r>
      <w:r w:rsidRPr="00506165">
        <w:rPr>
          <w:rFonts w:ascii="Times New Roman" w:eastAsia="Times New Roman" w:hAnsi="Times New Roman" w:cs="Times New Roman"/>
          <w:color w:val="000000"/>
          <w:sz w:val="27"/>
          <w:szCs w:val="27"/>
        </w:rPr>
        <w:lastRenderedPageBreak/>
        <w:t xml:space="preserve">94089. Except as expressly licensed hereunder, all rights are reserved. The NetApp Software is subject to U.S. export control laws and may be subject to export or import regulations in other countries. Licensee must comply with all applicable regulations and obtain licenses to export, re-export, or import the NetApp Software. Each party </w:t>
      </w:r>
      <w:proofErr w:type="gramStart"/>
      <w:r w:rsidRPr="00506165">
        <w:rPr>
          <w:rFonts w:ascii="Times New Roman" w:eastAsia="Times New Roman" w:hAnsi="Times New Roman" w:cs="Times New Roman"/>
          <w:color w:val="000000"/>
          <w:sz w:val="27"/>
          <w:szCs w:val="27"/>
        </w:rPr>
        <w:t>must at all times</w:t>
      </w:r>
      <w:proofErr w:type="gramEnd"/>
      <w:r w:rsidRPr="00506165">
        <w:rPr>
          <w:rFonts w:ascii="Times New Roman" w:eastAsia="Times New Roman" w:hAnsi="Times New Roman" w:cs="Times New Roman"/>
          <w:color w:val="000000"/>
          <w:sz w:val="27"/>
          <w:szCs w:val="27"/>
        </w:rPr>
        <w:t>, comply with all applicable laws, ordinances, statutes, rules, and regulations. </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b/>
          <w:bCs/>
          <w:color w:val="000000"/>
          <w:sz w:val="27"/>
          <w:szCs w:val="27"/>
        </w:rPr>
        <w:br/>
        <w:t>10. LICENSEE INDEMNITY.</w:t>
      </w:r>
      <w:r w:rsidRPr="00506165">
        <w:rPr>
          <w:rFonts w:ascii="Times New Roman" w:eastAsia="Times New Roman" w:hAnsi="Times New Roman" w:cs="Times New Roman"/>
          <w:color w:val="000000"/>
          <w:sz w:val="27"/>
          <w:szCs w:val="27"/>
        </w:rPr>
        <w:t> Licensee shall defend, indemnify and hold NetApp and its directors, employees subsidiaries, affiliates, licensors, successors and assigns harmless from and against all  claims, damages, fines, assessments, losses, costs and expenses, including attorneys' fees, arising from any third party claims or government or regulatory actions asserted against NetApp and its employees, subsidiaries, affiliates, successors and assigns (or which are otherwise tendered to NetApp by an indemnitee), that are based in whole or in part on any of the following: (a) Licensee's use or misuse of the NetApp Software in violation of this License; (b) use of the NetApp Software in combination with any other software not provided hereunder; (c) Licensee's breach of this License; or (d) a claim based upon an actual or alleged infringement of an intellectual property right of a third party arising from or related to the Licensee Application. </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b/>
          <w:bCs/>
          <w:color w:val="000000"/>
          <w:sz w:val="27"/>
          <w:szCs w:val="27"/>
        </w:rPr>
        <w:br/>
        <w:t>11. COMPLIANCE WITH LAWS.</w:t>
      </w:r>
      <w:r w:rsidRPr="00506165">
        <w:rPr>
          <w:rFonts w:ascii="Times New Roman" w:eastAsia="Times New Roman" w:hAnsi="Times New Roman" w:cs="Times New Roman"/>
          <w:color w:val="000000"/>
          <w:sz w:val="27"/>
          <w:szCs w:val="27"/>
        </w:rPr>
        <w:t> Each party shall comply with all applicable federal, state, local and foreign laws and ordinances including, but not limited to all export laws, restrictions and regulations of the Department of Commerce or other United States or foreign agency or authority, the Occupational Safety and Health Act of 1970 (29 U.S.C. Sections 651, 678), the Fair Labor Standards Act of 1938 (29 U.S.C. Sections 201-219), the Work Hours and Safety Act of 1962 (40 U.S.C. Sections 327, 333), the Equal Employment Opportunity (42 U.S.C. Sections 2000e, et seq.) and federal regulations governing affirmative action programs. </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b/>
          <w:bCs/>
          <w:color w:val="000000"/>
          <w:sz w:val="27"/>
          <w:szCs w:val="27"/>
        </w:rPr>
        <w:br/>
        <w:t>12. GOVERNING LAW.</w:t>
      </w:r>
      <w:r w:rsidRPr="00506165">
        <w:rPr>
          <w:rFonts w:ascii="Times New Roman" w:eastAsia="Times New Roman" w:hAnsi="Times New Roman" w:cs="Times New Roman"/>
          <w:color w:val="000000"/>
          <w:sz w:val="27"/>
          <w:szCs w:val="27"/>
        </w:rPr>
        <w:t xml:space="preserve"> This License shall be construed in accordance with and all disputes hereunder shall be governed by the laws of the State of California, excepting its conflicts of law rules. All disputes arising out of this License shall be subject to the exclusive jurisdiction and venue of the Superior Court of the State of California of Santa Clara County and the Federal District Court of the Northern District of California, United States of America, and the </w:t>
      </w:r>
      <w:proofErr w:type="gramStart"/>
      <w:r w:rsidRPr="00506165">
        <w:rPr>
          <w:rFonts w:ascii="Times New Roman" w:eastAsia="Times New Roman" w:hAnsi="Times New Roman" w:cs="Times New Roman"/>
          <w:color w:val="000000"/>
          <w:sz w:val="27"/>
          <w:szCs w:val="27"/>
        </w:rPr>
        <w:t>parties</w:t>
      </w:r>
      <w:proofErr w:type="gramEnd"/>
      <w:r w:rsidRPr="00506165">
        <w:rPr>
          <w:rFonts w:ascii="Times New Roman" w:eastAsia="Times New Roman" w:hAnsi="Times New Roman" w:cs="Times New Roman"/>
          <w:color w:val="000000"/>
          <w:sz w:val="27"/>
          <w:szCs w:val="27"/>
        </w:rPr>
        <w:t xml:space="preserve"> consent to the personal and exclusive jurisdiction and venue of such courts. The United Nations Convention on Contracts for the International Sales of Goods is specifically disclaimed.</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b/>
          <w:bCs/>
          <w:color w:val="000000"/>
          <w:sz w:val="27"/>
          <w:szCs w:val="27"/>
        </w:rPr>
        <w:br/>
        <w:t>13. SEVERABILITY.</w:t>
      </w:r>
      <w:r w:rsidRPr="00506165">
        <w:rPr>
          <w:rFonts w:ascii="Times New Roman" w:eastAsia="Times New Roman" w:hAnsi="Times New Roman" w:cs="Times New Roman"/>
          <w:color w:val="000000"/>
          <w:sz w:val="27"/>
          <w:szCs w:val="27"/>
        </w:rPr>
        <w:t xml:space="preserve"> If any provision of this License is held to be unenforceable, this License will remain in effect with the provision omitted, unless omission would frustrate the intent of the parties, in which case this License will immediately </w:t>
      </w:r>
      <w:r w:rsidRPr="00506165">
        <w:rPr>
          <w:rFonts w:ascii="Times New Roman" w:eastAsia="Times New Roman" w:hAnsi="Times New Roman" w:cs="Times New Roman"/>
          <w:color w:val="000000"/>
          <w:sz w:val="27"/>
          <w:szCs w:val="27"/>
        </w:rPr>
        <w:lastRenderedPageBreak/>
        <w:t>terminate. </w:t>
      </w:r>
      <w:r w:rsidRPr="00506165">
        <w:rPr>
          <w:rFonts w:ascii="Times New Roman" w:eastAsia="Times New Roman" w:hAnsi="Times New Roman" w:cs="Times New Roman"/>
          <w:color w:val="000000"/>
          <w:sz w:val="27"/>
          <w:szCs w:val="27"/>
        </w:rPr>
        <w:br/>
      </w:r>
      <w:r w:rsidRPr="00506165">
        <w:rPr>
          <w:rFonts w:ascii="Times New Roman" w:eastAsia="Times New Roman" w:hAnsi="Times New Roman" w:cs="Times New Roman"/>
          <w:b/>
          <w:bCs/>
          <w:color w:val="000000"/>
          <w:sz w:val="27"/>
          <w:szCs w:val="27"/>
        </w:rPr>
        <w:br/>
        <w:t>14. INTEGRATION.</w:t>
      </w:r>
      <w:r w:rsidRPr="00506165">
        <w:rPr>
          <w:rFonts w:ascii="Times New Roman" w:eastAsia="Times New Roman" w:hAnsi="Times New Roman" w:cs="Times New Roman"/>
          <w:color w:val="000000"/>
          <w:sz w:val="27"/>
          <w:szCs w:val="27"/>
        </w:rPr>
        <w:t> This License is the entire agreement between You and NetApp relating to its subject matter. It supersedes all prior or contemporaneous oral or written communications, proposals, representations and warranties and prevails over any conflicting or additional terms of any quote, order, acknowledgment, or other communication between the parties relating to its subject matter during the term of this License. No modification of this License will be binding, unless in writing and signed by an authorized representative of each party.</w:t>
      </w:r>
    </w:p>
    <w:p w:rsidR="00506165" w:rsidRPr="00506165" w:rsidRDefault="00506165" w:rsidP="00506165">
      <w:pPr>
        <w:spacing w:before="100" w:beforeAutospacing="1" w:after="100" w:afterAutospacing="1" w:line="240" w:lineRule="auto"/>
        <w:rPr>
          <w:rFonts w:ascii="Times New Roman" w:eastAsia="Times New Roman" w:hAnsi="Times New Roman" w:cs="Times New Roman"/>
          <w:color w:val="000000"/>
          <w:sz w:val="27"/>
          <w:szCs w:val="27"/>
        </w:rPr>
      </w:pPr>
      <w:r w:rsidRPr="00506165">
        <w:rPr>
          <w:rFonts w:ascii="Times New Roman" w:eastAsia="Times New Roman" w:hAnsi="Times New Roman" w:cs="Times New Roman"/>
          <w:color w:val="000000"/>
          <w:sz w:val="27"/>
          <w:szCs w:val="27"/>
        </w:rPr>
        <w:t>NetApp SDK License Agreement v11-04-14</w:t>
      </w:r>
    </w:p>
    <w:p w:rsidR="00506165" w:rsidRPr="00506165" w:rsidRDefault="00506165" w:rsidP="00506165">
      <w:pPr>
        <w:spacing w:after="0" w:line="240" w:lineRule="auto"/>
        <w:rPr>
          <w:rFonts w:ascii="Times New Roman" w:eastAsia="Times New Roman" w:hAnsi="Times New Roman" w:cs="Times New Roman"/>
          <w:color w:val="000000"/>
          <w:sz w:val="27"/>
          <w:szCs w:val="27"/>
        </w:rPr>
      </w:pPr>
      <w:bookmarkStart w:id="1" w:name="bottom"/>
      <w:r w:rsidRPr="00506165">
        <w:rPr>
          <w:rFonts w:ascii="Times New Roman" w:eastAsia="Times New Roman" w:hAnsi="Times New Roman" w:cs="Times New Roman"/>
          <w:color w:val="000000"/>
          <w:sz w:val="27"/>
          <w:szCs w:val="27"/>
        </w:rPr>
        <w:pict>
          <v:rect id="_x0000_i1026" style="width:0;height:.75pt" o:hralign="center" o:hrstd="t" o:hr="t" fillcolor="#a0a0a0" stroked="f"/>
        </w:pict>
      </w:r>
    </w:p>
    <w:bookmarkEnd w:id="1"/>
    <w:p w:rsidR="00506165" w:rsidRPr="00506165" w:rsidRDefault="00506165" w:rsidP="00506165">
      <w:pPr>
        <w:pBdr>
          <w:bottom w:val="single" w:sz="6" w:space="1" w:color="auto"/>
        </w:pBdr>
        <w:spacing w:after="0" w:line="240" w:lineRule="auto"/>
        <w:jc w:val="center"/>
        <w:rPr>
          <w:rFonts w:ascii="Arial" w:eastAsia="Times New Roman" w:hAnsi="Arial" w:cs="Arial"/>
          <w:vanish/>
          <w:sz w:val="16"/>
          <w:szCs w:val="16"/>
        </w:rPr>
      </w:pPr>
      <w:r w:rsidRPr="00506165">
        <w:rPr>
          <w:rFonts w:ascii="Arial" w:eastAsia="Times New Roman" w:hAnsi="Arial" w:cs="Arial"/>
          <w:vanish/>
          <w:sz w:val="16"/>
          <w:szCs w:val="16"/>
        </w:rPr>
        <w:t>Top of Form</w:t>
      </w:r>
    </w:p>
    <w:tbl>
      <w:tblPr>
        <w:tblW w:w="3000" w:type="dxa"/>
        <w:jc w:val="center"/>
        <w:tblCellSpacing w:w="7" w:type="dxa"/>
        <w:tblCellMar>
          <w:top w:w="120" w:type="dxa"/>
          <w:left w:w="120" w:type="dxa"/>
          <w:bottom w:w="120" w:type="dxa"/>
          <w:right w:w="120" w:type="dxa"/>
        </w:tblCellMar>
        <w:tblLook w:val="04A0" w:firstRow="1" w:lastRow="0" w:firstColumn="1" w:lastColumn="0" w:noHBand="0" w:noVBand="1"/>
      </w:tblPr>
      <w:tblGrid>
        <w:gridCol w:w="3000"/>
      </w:tblGrid>
      <w:tr w:rsidR="00506165" w:rsidRPr="00506165" w:rsidTr="00506165">
        <w:trPr>
          <w:tblCellSpacing w:w="7" w:type="dxa"/>
          <w:jc w:val="center"/>
        </w:trPr>
        <w:tc>
          <w:tcPr>
            <w:tcW w:w="0" w:type="auto"/>
            <w:vAlign w:val="center"/>
            <w:hideMark/>
          </w:tcPr>
          <w:p w:rsidR="00506165" w:rsidRPr="00506165" w:rsidRDefault="00506165" w:rsidP="00506165">
            <w:pPr>
              <w:spacing w:after="0" w:line="240" w:lineRule="auto"/>
              <w:rPr>
                <w:rFonts w:ascii="Times New Roman" w:eastAsia="Times New Roman" w:hAnsi="Times New Roman" w:cs="Times New Roman"/>
                <w:color w:val="000000"/>
                <w:sz w:val="27"/>
                <w:szCs w:val="27"/>
              </w:rPr>
            </w:pPr>
          </w:p>
        </w:tc>
      </w:tr>
      <w:tr w:rsidR="00506165" w:rsidRPr="00506165" w:rsidTr="00506165">
        <w:trPr>
          <w:tblCellSpacing w:w="7" w:type="dxa"/>
          <w:jc w:val="center"/>
        </w:trPr>
        <w:tc>
          <w:tcPr>
            <w:tcW w:w="0" w:type="auto"/>
            <w:hideMark/>
          </w:tcPr>
          <w:p w:rsidR="00506165" w:rsidRPr="00506165" w:rsidRDefault="00506165" w:rsidP="00506165">
            <w:pPr>
              <w:spacing w:after="0" w:line="240" w:lineRule="auto"/>
              <w:jc w:val="center"/>
              <w:rPr>
                <w:rFonts w:ascii="Times New Roman" w:eastAsia="Times New Roman" w:hAnsi="Times New Roman" w:cs="Times New Roman"/>
                <w:sz w:val="24"/>
                <w:szCs w:val="24"/>
              </w:rPr>
            </w:pPr>
            <w:r w:rsidRPr="00506165">
              <w:rPr>
                <w:rFonts w:ascii="Times New Roman" w:eastAsia="Times New Roman" w:hAnsi="Times New Roman" w:cs="Times New Roman"/>
                <w:sz w:val="24"/>
                <w:szCs w:val="24"/>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38.2pt;height:21.9pt" o:ole="">
                  <v:imagedata r:id="rId6" o:title=""/>
                </v:shape>
                <w:control r:id="rId7" w:name="DefaultOcxName" w:shapeid="_x0000_i1040"/>
              </w:object>
            </w:r>
          </w:p>
        </w:tc>
      </w:tr>
      <w:tr w:rsidR="00506165" w:rsidRPr="00506165" w:rsidTr="00506165">
        <w:trPr>
          <w:tblCellSpacing w:w="7" w:type="dxa"/>
          <w:jc w:val="center"/>
        </w:trPr>
        <w:tc>
          <w:tcPr>
            <w:tcW w:w="0" w:type="auto"/>
            <w:hideMark/>
          </w:tcPr>
          <w:p w:rsidR="00506165" w:rsidRPr="00506165" w:rsidRDefault="00506165" w:rsidP="00506165">
            <w:pPr>
              <w:spacing w:after="0" w:line="240" w:lineRule="auto"/>
              <w:jc w:val="center"/>
              <w:rPr>
                <w:rFonts w:ascii="Times New Roman" w:eastAsia="Times New Roman" w:hAnsi="Times New Roman" w:cs="Times New Roman"/>
                <w:sz w:val="24"/>
                <w:szCs w:val="24"/>
              </w:rPr>
            </w:pPr>
            <w:r w:rsidRPr="00506165">
              <w:rPr>
                <w:rFonts w:ascii="Times New Roman" w:eastAsia="Times New Roman" w:hAnsi="Times New Roman" w:cs="Times New Roman"/>
                <w:b/>
                <w:bCs/>
                <w:sz w:val="24"/>
                <w:szCs w:val="24"/>
              </w:rPr>
              <w:object w:dxaOrig="1440" w:dyaOrig="1440">
                <v:shape id="_x0000_i1039" type="#_x0000_t75" style="width:39.45pt;height:21.9pt" o:ole="">
                  <v:imagedata r:id="rId8" o:title=""/>
                </v:shape>
                <w:control r:id="rId9" w:name="DefaultOcxName1" w:shapeid="_x0000_i1039"/>
              </w:object>
            </w:r>
          </w:p>
        </w:tc>
      </w:tr>
    </w:tbl>
    <w:p w:rsidR="00506165" w:rsidRPr="00506165" w:rsidRDefault="00506165" w:rsidP="00506165">
      <w:pPr>
        <w:pBdr>
          <w:top w:val="single" w:sz="6" w:space="1" w:color="auto"/>
        </w:pBdr>
        <w:spacing w:after="0" w:line="240" w:lineRule="auto"/>
        <w:jc w:val="center"/>
        <w:rPr>
          <w:rFonts w:ascii="Arial" w:eastAsia="Times New Roman" w:hAnsi="Arial" w:cs="Arial"/>
          <w:vanish/>
          <w:sz w:val="16"/>
          <w:szCs w:val="16"/>
        </w:rPr>
      </w:pPr>
      <w:r w:rsidRPr="00506165">
        <w:rPr>
          <w:rFonts w:ascii="Arial" w:eastAsia="Times New Roman" w:hAnsi="Arial" w:cs="Arial"/>
          <w:vanish/>
          <w:sz w:val="16"/>
          <w:szCs w:val="16"/>
        </w:rPr>
        <w:t>Bottom of Form</w:t>
      </w:r>
    </w:p>
    <w:p w:rsidR="0026621B" w:rsidRDefault="00506165"/>
    <w:sectPr w:rsidR="0026621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6165"/>
    <w:rsid w:val="00506165"/>
    <w:rsid w:val="00CF37AC"/>
    <w:rsid w:val="00DA08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7D247B-17CB-4380-8D34-7AA62ADEF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0616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06165"/>
    <w:rPr>
      <w:b/>
      <w:bCs/>
    </w:rPr>
  </w:style>
  <w:style w:type="character" w:styleId="Hyperlink">
    <w:name w:val="Hyperlink"/>
    <w:basedOn w:val="DefaultParagraphFont"/>
    <w:uiPriority w:val="99"/>
    <w:semiHidden/>
    <w:unhideWhenUsed/>
    <w:rsid w:val="00506165"/>
    <w:rPr>
      <w:color w:val="0000FF"/>
      <w:u w:val="single"/>
    </w:rPr>
  </w:style>
  <w:style w:type="paragraph" w:styleId="z-TopofForm">
    <w:name w:val="HTML Top of Form"/>
    <w:basedOn w:val="Normal"/>
    <w:next w:val="Normal"/>
    <w:link w:val="z-TopofFormChar"/>
    <w:hidden/>
    <w:uiPriority w:val="99"/>
    <w:semiHidden/>
    <w:unhideWhenUsed/>
    <w:rsid w:val="00506165"/>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506165"/>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506165"/>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506165"/>
    <w:rPr>
      <w:rFonts w:ascii="Arial" w:eastAsia="Times New Roman" w:hAnsi="Arial" w:cs="Arial"/>
      <w:vanish/>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4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3" Type="http://schemas.openxmlformats.org/officeDocument/2006/relationships/webSettings" Target="webSettings.xml"/><Relationship Id="rId7" Type="http://schemas.openxmlformats.org/officeDocument/2006/relationships/control" Target="activeX/activeX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wmf"/><Relationship Id="rId11" Type="http://schemas.openxmlformats.org/officeDocument/2006/relationships/theme" Target="theme/theme1.xml"/><Relationship Id="rId5" Type="http://schemas.openxmlformats.org/officeDocument/2006/relationships/hyperlink" Target="http://community.netapp.com/t5/Software-Development-Kit-SDK-and-API-Discussions/bd-p/sdk-and-api-discussions" TargetMode="External"/><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control" Target="activeX/activeX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activeX1.xml><?xml version="1.0" encoding="utf-8"?>
<ax:ocx xmlns:ax="http://schemas.microsoft.com/office/2006/activeX" xmlns:r="http://schemas.openxmlformats.org/officeDocument/2006/relationships" ax:classid="{5512D110-5CC6-11CF-8D67-00AA00BDCE1D}" ax:persistence="persistStream" r:id="rId1"/>
</file>

<file path=word/activeX/activeX2.xml><?xml version="1.0" encoding="utf-8"?>
<ax:ocx xmlns:ax="http://schemas.microsoft.com/office/2006/activeX" xmlns:r="http://schemas.openxmlformats.org/officeDocument/2006/relationships" ax:classid="{5512D110-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2117</Words>
  <Characters>12068</Characters>
  <Application>Microsoft Office Word</Application>
  <DocSecurity>0</DocSecurity>
  <Lines>100</Lines>
  <Paragraphs>28</Paragraphs>
  <ScaleCrop>false</ScaleCrop>
  <Company/>
  <LinksUpToDate>false</LinksUpToDate>
  <CharactersWithSpaces>14157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Verma, Gaurav</dc:creator>
  <cp:keywords/>
  <dc:description/>
  <cp:lastModifiedBy>Verma, Gaurav</cp:lastModifiedBy>
  <cp:revision>1</cp:revision>
  <dcterms:created xsi:type="dcterms:W3CDTF">2019-06-04T20:30:00Z</dcterms:created>
  <dcterms:modified xsi:type="dcterms:W3CDTF">2019-06-04T20:30:00Z</dcterms:modified>
</cp:coreProperties>
</file>